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A9" w:rsidRDefault="009B265D" w:rsidP="000A4754">
      <w:pPr>
        <w:spacing w:before="203" w:after="120" w:line="274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Dismissal of Formal Complaint of Sexual Harassment under Title IX</w:t>
      </w:r>
    </w:p>
    <w:p w:rsidR="001A567C" w:rsidRPr="005E52AA" w:rsidRDefault="0028290B">
      <w:pPr>
        <w:spacing w:before="177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5E52AA">
        <w:rPr>
          <w:rFonts w:eastAsia="Times New Roman"/>
          <w:color w:val="000000"/>
          <w:spacing w:val="-1"/>
          <w:sz w:val="23"/>
        </w:rPr>
        <w:t xml:space="preserve">Complaint No. </w:t>
      </w:r>
      <w:r w:rsidR="001A567C" w:rsidRPr="005E52AA">
        <w:rPr>
          <w:rFonts w:eastAsia="Times New Roman"/>
          <w:color w:val="000000"/>
          <w:spacing w:val="-1"/>
          <w:sz w:val="23"/>
        </w:rPr>
        <w:t>__________</w:t>
      </w:r>
      <w:r w:rsidR="005E52AA" w:rsidRPr="005E52AA">
        <w:rPr>
          <w:rFonts w:eastAsia="Times New Roman"/>
          <w:color w:val="000000"/>
          <w:spacing w:val="-1"/>
          <w:sz w:val="23"/>
        </w:rPr>
        <w:t>_</w:t>
      </w:r>
      <w:r w:rsidR="001A567C" w:rsidRPr="005E52AA">
        <w:rPr>
          <w:rFonts w:eastAsia="Times New Roman"/>
          <w:color w:val="000000"/>
          <w:spacing w:val="-1"/>
          <w:sz w:val="23"/>
        </w:rPr>
        <w:t>_____</w:t>
      </w:r>
    </w:p>
    <w:p w:rsidR="000A4754" w:rsidRPr="005E52AA" w:rsidRDefault="007F6FA9" w:rsidP="000A4754">
      <w:pPr>
        <w:spacing w:before="177" w:after="120" w:line="272" w:lineRule="exact"/>
        <w:textAlignment w:val="baseline"/>
        <w:rPr>
          <w:rFonts w:eastAsia="Times New Roman"/>
          <w:color w:val="000000"/>
          <w:spacing w:val="-1"/>
          <w:sz w:val="23"/>
        </w:rPr>
      </w:pPr>
      <w:r w:rsidRPr="005E52AA">
        <w:rPr>
          <w:rFonts w:eastAsia="Times New Roman"/>
          <w:color w:val="000000"/>
          <w:spacing w:val="-1"/>
          <w:sz w:val="23"/>
        </w:rPr>
        <w:t>Date: _______________________</w:t>
      </w:r>
    </w:p>
    <w:p w:rsidR="009B265D" w:rsidRPr="005E52AA" w:rsidRDefault="009B265D" w:rsidP="005E52AA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23"/>
        </w:rPr>
        <w:t>To all parties and advisors:</w:t>
      </w:r>
    </w:p>
    <w:p w:rsidR="009B265D" w:rsidRPr="005E52AA" w:rsidRDefault="009B265D" w:rsidP="00A442B7">
      <w:pPr>
        <w:spacing w:before="162" w:after="200" w:line="282" w:lineRule="exact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23"/>
        </w:rPr>
        <w:t xml:space="preserve">This Formal Complaint </w:t>
      </w:r>
      <w:proofErr w:type="gramStart"/>
      <w:r w:rsidRPr="005E52AA">
        <w:rPr>
          <w:rFonts w:eastAsia="Times New Roman"/>
          <w:color w:val="000000"/>
          <w:sz w:val="23"/>
        </w:rPr>
        <w:t>is dismissed</w:t>
      </w:r>
      <w:proofErr w:type="gramEnd"/>
      <w:r w:rsidRPr="005E52AA">
        <w:rPr>
          <w:rFonts w:eastAsia="Times New Roman"/>
          <w:color w:val="000000"/>
          <w:sz w:val="23"/>
        </w:rPr>
        <w:t xml:space="preserve"> for the following reason(s) checked below:</w:t>
      </w:r>
    </w:p>
    <w:p w:rsidR="009B265D" w:rsidRPr="005E52AA" w:rsidRDefault="009B265D" w:rsidP="00A442B7">
      <w:pPr>
        <w:tabs>
          <w:tab w:val="left" w:pos="54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32"/>
          <w:szCs w:val="32"/>
        </w:rPr>
        <w:sym w:font="Wingdings 2" w:char="F02A"/>
      </w:r>
      <w:r w:rsidRPr="005E52AA">
        <w:rPr>
          <w:rFonts w:eastAsia="Times New Roman"/>
          <w:color w:val="000000"/>
          <w:sz w:val="23"/>
        </w:rPr>
        <w:tab/>
        <w:t>The complainant has notified the Title IX Coordinator in writing that the complainant would like to withdraw the formal complaint or any allegations therein.</w:t>
      </w:r>
    </w:p>
    <w:p w:rsidR="009B265D" w:rsidRPr="005E52AA" w:rsidRDefault="009B265D" w:rsidP="00A442B7">
      <w:pPr>
        <w:tabs>
          <w:tab w:val="left" w:pos="54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32"/>
          <w:szCs w:val="32"/>
        </w:rPr>
        <w:sym w:font="Wingdings 2" w:char="F02A"/>
      </w:r>
      <w:r w:rsidRPr="005E52AA">
        <w:rPr>
          <w:rFonts w:eastAsia="Times New Roman"/>
          <w:color w:val="000000"/>
          <w:sz w:val="32"/>
          <w:szCs w:val="32"/>
        </w:rPr>
        <w:tab/>
      </w:r>
      <w:r w:rsidRPr="005E52AA">
        <w:rPr>
          <w:rFonts w:eastAsia="Times New Roman"/>
          <w:color w:val="000000"/>
          <w:sz w:val="23"/>
        </w:rPr>
        <w:t>The conduct alleged in the Formal Complaint would not constitute sexual harassment as defined above even if proved.</w:t>
      </w:r>
    </w:p>
    <w:p w:rsidR="009B265D" w:rsidRPr="005E52AA" w:rsidRDefault="009B265D" w:rsidP="00A442B7">
      <w:pPr>
        <w:tabs>
          <w:tab w:val="left" w:pos="54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32"/>
          <w:szCs w:val="32"/>
        </w:rPr>
        <w:sym w:font="Wingdings 2" w:char="F02A"/>
      </w:r>
      <w:r w:rsidRPr="005E52AA">
        <w:rPr>
          <w:rFonts w:eastAsia="Times New Roman"/>
          <w:color w:val="000000"/>
          <w:sz w:val="32"/>
          <w:szCs w:val="32"/>
        </w:rPr>
        <w:tab/>
      </w:r>
      <w:r w:rsidRPr="005E52AA">
        <w:rPr>
          <w:rFonts w:eastAsia="Times New Roman"/>
          <w:color w:val="000000"/>
          <w:sz w:val="23"/>
        </w:rPr>
        <w:t>The conduct alleged did not occur in the District’s education program or activity.</w:t>
      </w:r>
    </w:p>
    <w:p w:rsidR="009B265D" w:rsidRPr="005E52AA" w:rsidRDefault="009B265D" w:rsidP="00A442B7">
      <w:pPr>
        <w:tabs>
          <w:tab w:val="left" w:pos="540"/>
        </w:tabs>
        <w:spacing w:before="162" w:after="200" w:line="282" w:lineRule="exact"/>
        <w:ind w:left="547" w:hanging="547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32"/>
          <w:szCs w:val="32"/>
        </w:rPr>
        <w:sym w:font="Wingdings 2" w:char="F02A"/>
      </w:r>
      <w:r w:rsidRPr="005E52AA">
        <w:rPr>
          <w:rFonts w:eastAsia="Times New Roman"/>
          <w:color w:val="000000"/>
          <w:sz w:val="32"/>
          <w:szCs w:val="32"/>
        </w:rPr>
        <w:tab/>
      </w:r>
      <w:r w:rsidRPr="005E52AA">
        <w:rPr>
          <w:rFonts w:eastAsia="Times New Roman"/>
          <w:color w:val="000000"/>
          <w:sz w:val="23"/>
        </w:rPr>
        <w:t xml:space="preserve">The respondent </w:t>
      </w:r>
      <w:proofErr w:type="gramStart"/>
      <w:r w:rsidRPr="005E52AA">
        <w:rPr>
          <w:rFonts w:eastAsia="Times New Roman"/>
          <w:color w:val="000000"/>
          <w:sz w:val="23"/>
        </w:rPr>
        <w:t>is no longer enrolled or employed by the District</w:t>
      </w:r>
      <w:proofErr w:type="gramEnd"/>
      <w:r w:rsidRPr="005E52AA">
        <w:rPr>
          <w:rFonts w:eastAsia="Times New Roman"/>
          <w:color w:val="000000"/>
          <w:sz w:val="23"/>
        </w:rPr>
        <w:t>.</w:t>
      </w:r>
    </w:p>
    <w:p w:rsidR="009B265D" w:rsidRPr="005E52AA" w:rsidRDefault="009B265D" w:rsidP="009B265D">
      <w:pPr>
        <w:tabs>
          <w:tab w:val="left" w:pos="540"/>
        </w:tabs>
        <w:spacing w:before="162" w:line="282" w:lineRule="exact"/>
        <w:ind w:left="540" w:hanging="540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32"/>
          <w:szCs w:val="32"/>
        </w:rPr>
        <w:sym w:font="Wingdings 2" w:char="F02A"/>
      </w:r>
      <w:r w:rsidRPr="005E52AA">
        <w:rPr>
          <w:rFonts w:eastAsia="Times New Roman"/>
          <w:color w:val="000000"/>
          <w:sz w:val="32"/>
          <w:szCs w:val="32"/>
        </w:rPr>
        <w:tab/>
      </w:r>
      <w:r w:rsidRPr="005E52AA">
        <w:rPr>
          <w:rFonts w:eastAsia="Times New Roman"/>
          <w:color w:val="000000"/>
          <w:sz w:val="23"/>
        </w:rPr>
        <w:t>Specific circumstances prevent the District from gathering evid</w:t>
      </w:r>
      <w:bookmarkStart w:id="0" w:name="_GoBack"/>
      <w:bookmarkEnd w:id="0"/>
      <w:r w:rsidRPr="005E52AA">
        <w:rPr>
          <w:rFonts w:eastAsia="Times New Roman"/>
          <w:color w:val="000000"/>
          <w:sz w:val="23"/>
        </w:rPr>
        <w:t>ence sufficient to reach a determination as to the formal complaint or allegations therein.  List details: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A442B7" w:rsidRPr="005E52AA" w:rsidRDefault="00A442B7" w:rsidP="00A442B7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ab/>
        <w:t>______________________________________________________________________________</w:t>
      </w:r>
    </w:p>
    <w:p w:rsidR="009B265D" w:rsidRPr="005E52AA" w:rsidRDefault="00A442B7" w:rsidP="009B265D">
      <w:pPr>
        <w:tabs>
          <w:tab w:val="left" w:pos="540"/>
        </w:tabs>
        <w:spacing w:before="162" w:line="282" w:lineRule="exact"/>
        <w:ind w:left="540" w:hanging="540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23"/>
        </w:rPr>
        <w:t>A dismissal does not preclude action under another provision of the District’s Code of Conduct.</w:t>
      </w:r>
    </w:p>
    <w:p w:rsidR="00A442B7" w:rsidRPr="005E52AA" w:rsidRDefault="00A442B7" w:rsidP="009B265D">
      <w:pPr>
        <w:tabs>
          <w:tab w:val="left" w:pos="540"/>
        </w:tabs>
        <w:spacing w:before="162" w:line="282" w:lineRule="exact"/>
        <w:ind w:left="540" w:hanging="540"/>
        <w:jc w:val="both"/>
        <w:textAlignment w:val="baseline"/>
        <w:rPr>
          <w:rFonts w:eastAsia="Times New Roman"/>
          <w:color w:val="000000"/>
          <w:sz w:val="23"/>
        </w:rPr>
      </w:pPr>
      <w:r w:rsidRPr="005E52AA">
        <w:rPr>
          <w:rFonts w:eastAsia="Times New Roman"/>
          <w:color w:val="000000"/>
          <w:sz w:val="23"/>
        </w:rPr>
        <w:t xml:space="preserve">Please refer to the enclosed Grievance Process for rights to appeal this dismissal. </w:t>
      </w:r>
    </w:p>
    <w:p w:rsidR="005C7A19" w:rsidRPr="005E52AA" w:rsidRDefault="005C7A19" w:rsidP="005C7A19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</w:p>
    <w:p w:rsidR="005C7A19" w:rsidRPr="005E52AA" w:rsidRDefault="005C7A19" w:rsidP="005C7A19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_______________________</w:t>
      </w:r>
      <w:r w:rsidR="002B029C" w:rsidRPr="005E52AA">
        <w:rPr>
          <w:rFonts w:eastAsia="Times New Roman"/>
          <w:color w:val="000000"/>
          <w:spacing w:val="-1"/>
          <w:sz w:val="23"/>
          <w:szCs w:val="23"/>
        </w:rPr>
        <w:t>____</w:t>
      </w:r>
      <w:r w:rsidRPr="005E52AA">
        <w:rPr>
          <w:rFonts w:eastAsia="Times New Roman"/>
          <w:color w:val="000000"/>
          <w:spacing w:val="-1"/>
          <w:sz w:val="23"/>
          <w:szCs w:val="23"/>
        </w:rPr>
        <w:t>______</w:t>
      </w:r>
      <w:r w:rsidR="00112585" w:rsidRPr="005E52AA">
        <w:rPr>
          <w:rFonts w:eastAsia="Times New Roman"/>
          <w:color w:val="000000"/>
          <w:spacing w:val="-1"/>
          <w:sz w:val="23"/>
          <w:szCs w:val="23"/>
        </w:rPr>
        <w:br/>
      </w:r>
      <w:r w:rsidRPr="005E52AA">
        <w:rPr>
          <w:rFonts w:eastAsia="Times New Roman"/>
          <w:color w:val="000000"/>
          <w:spacing w:val="-1"/>
          <w:sz w:val="23"/>
          <w:szCs w:val="23"/>
        </w:rPr>
        <w:t>Title IX Coordinator</w:t>
      </w:r>
    </w:p>
    <w:p w:rsidR="0064640F" w:rsidRPr="005E52AA" w:rsidRDefault="0064640F" w:rsidP="005C7A19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</w:p>
    <w:p w:rsidR="001A567C" w:rsidRDefault="00112585" w:rsidP="0064640F">
      <w:pPr>
        <w:tabs>
          <w:tab w:val="right" w:pos="8900"/>
        </w:tabs>
        <w:spacing w:before="164" w:line="272" w:lineRule="exact"/>
        <w:textAlignment w:val="baseline"/>
        <w:rPr>
          <w:rFonts w:eastAsia="Times New Roman"/>
          <w:color w:val="000000"/>
          <w:spacing w:val="-1"/>
          <w:sz w:val="23"/>
          <w:szCs w:val="23"/>
        </w:rPr>
      </w:pPr>
      <w:r w:rsidRPr="005E52AA">
        <w:rPr>
          <w:rFonts w:eastAsia="Times New Roman"/>
          <w:color w:val="000000"/>
          <w:spacing w:val="-1"/>
          <w:sz w:val="23"/>
          <w:szCs w:val="23"/>
        </w:rPr>
        <w:t>Enclosure:  Title IX Grievance Process</w:t>
      </w:r>
    </w:p>
    <w:p w:rsidR="00DC6CA9" w:rsidRDefault="00DC6CA9" w:rsidP="0064640F">
      <w:pPr>
        <w:widowControl w:val="0"/>
        <w:tabs>
          <w:tab w:val="right" w:pos="8900"/>
        </w:tabs>
        <w:spacing w:before="169" w:line="272" w:lineRule="exact"/>
        <w:textAlignment w:val="baseline"/>
        <w:sectPr w:rsidR="00DC6CA9">
          <w:headerReference w:type="default" r:id="rId7"/>
          <w:pgSz w:w="12250" w:h="15840"/>
          <w:pgMar w:top="1700" w:right="1694" w:bottom="604" w:left="1656" w:header="720" w:footer="720" w:gutter="0"/>
          <w:cols w:space="720"/>
        </w:sectPr>
      </w:pPr>
    </w:p>
    <w:p w:rsidR="00DC6CA9" w:rsidRDefault="00DC6CA9" w:rsidP="005E52AA">
      <w:pPr>
        <w:spacing w:line="167" w:lineRule="exact"/>
        <w:textAlignment w:val="baseline"/>
        <w:rPr>
          <w:rFonts w:ascii="Arial" w:eastAsia="Arial" w:hAnsi="Arial"/>
          <w:b/>
          <w:color w:val="000000"/>
          <w:spacing w:val="-6"/>
          <w:sz w:val="14"/>
        </w:rPr>
      </w:pPr>
    </w:p>
    <w:sectPr w:rsidR="00DC6CA9">
      <w:type w:val="continuous"/>
      <w:pgSz w:w="12250" w:h="15840"/>
      <w:pgMar w:top="1680" w:right="9788" w:bottom="604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B5" w:rsidRDefault="00B120B5" w:rsidP="00B120B5">
      <w:r>
        <w:separator/>
      </w:r>
    </w:p>
  </w:endnote>
  <w:endnote w:type="continuationSeparator" w:id="0">
    <w:p w:rsidR="00B120B5" w:rsidRDefault="00B120B5" w:rsidP="00B1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B5" w:rsidRDefault="00B120B5" w:rsidP="00B120B5">
      <w:r>
        <w:separator/>
      </w:r>
    </w:p>
  </w:footnote>
  <w:footnote w:type="continuationSeparator" w:id="0">
    <w:p w:rsidR="00B120B5" w:rsidRDefault="00B120B5" w:rsidP="00B1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B5" w:rsidRDefault="00B120B5" w:rsidP="00B120B5">
    <w:pPr>
      <w:pStyle w:val="Header"/>
    </w:pPr>
    <w:r>
      <w:t>TITLE IX GRIEVANCE PROCESS</w:t>
    </w:r>
  </w:p>
  <w:p w:rsidR="00B120B5" w:rsidRDefault="0028290B" w:rsidP="00B120B5">
    <w:pPr>
      <w:pStyle w:val="Footer"/>
      <w:jc w:val="center"/>
    </w:pPr>
    <w:r>
      <w:t xml:space="preserve">ATTACHMENT </w:t>
    </w:r>
    <w:r w:rsidR="009B265D">
      <w:t>D</w:t>
    </w:r>
    <w:r w:rsidR="00B120B5">
      <w:tab/>
    </w:r>
    <w:r w:rsidR="00B120B5">
      <w:tab/>
      <w:t>PAGE</w:t>
    </w:r>
    <w:r w:rsidR="00B120B5" w:rsidRPr="00336A8D">
      <w:t xml:space="preserve"> </w:t>
    </w:r>
    <w:r w:rsidR="00B120B5" w:rsidRPr="00336A8D">
      <w:rPr>
        <w:szCs w:val="24"/>
      </w:rPr>
      <w:fldChar w:fldCharType="begin"/>
    </w:r>
    <w:r w:rsidR="00B120B5" w:rsidRPr="00336A8D">
      <w:instrText xml:space="preserve"> PAGE </w:instrText>
    </w:r>
    <w:r w:rsidR="00B120B5" w:rsidRPr="00336A8D">
      <w:rPr>
        <w:szCs w:val="24"/>
      </w:rPr>
      <w:fldChar w:fldCharType="separate"/>
    </w:r>
    <w:r w:rsidR="005E52AA">
      <w:rPr>
        <w:noProof/>
      </w:rPr>
      <w:t>1</w:t>
    </w:r>
    <w:r w:rsidR="00B120B5" w:rsidRPr="00336A8D">
      <w:rPr>
        <w:szCs w:val="24"/>
      </w:rPr>
      <w:fldChar w:fldCharType="end"/>
    </w:r>
    <w:r w:rsidR="00B120B5" w:rsidRPr="00336A8D">
      <w:t xml:space="preserve"> </w:t>
    </w:r>
    <w:r w:rsidR="00B120B5">
      <w:t>OF</w:t>
    </w:r>
    <w:r w:rsidR="00B120B5" w:rsidRPr="00336A8D">
      <w:t xml:space="preserve"> </w:t>
    </w:r>
    <w:r w:rsidR="00B120B5" w:rsidRPr="00336A8D">
      <w:rPr>
        <w:szCs w:val="24"/>
      </w:rPr>
      <w:fldChar w:fldCharType="begin"/>
    </w:r>
    <w:r w:rsidR="00B120B5" w:rsidRPr="00336A8D">
      <w:instrText xml:space="preserve"> NUMPAGES  </w:instrText>
    </w:r>
    <w:r w:rsidR="00B120B5" w:rsidRPr="00336A8D">
      <w:rPr>
        <w:szCs w:val="24"/>
      </w:rPr>
      <w:fldChar w:fldCharType="separate"/>
    </w:r>
    <w:r w:rsidR="005E52AA">
      <w:rPr>
        <w:noProof/>
      </w:rPr>
      <w:t>1</w:t>
    </w:r>
    <w:r w:rsidR="00B120B5" w:rsidRPr="00336A8D">
      <w:rPr>
        <w:szCs w:val="24"/>
      </w:rPr>
      <w:fldChar w:fldCharType="end"/>
    </w:r>
  </w:p>
  <w:p w:rsidR="00B120B5" w:rsidRDefault="00B120B5">
    <w:pPr>
      <w:pStyle w:val="Header"/>
    </w:pPr>
  </w:p>
  <w:p w:rsidR="00B120B5" w:rsidRDefault="00B12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F3"/>
    <w:multiLevelType w:val="hybridMultilevel"/>
    <w:tmpl w:val="857A2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B17"/>
    <w:multiLevelType w:val="multilevel"/>
    <w:tmpl w:val="1DF254D2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7097C"/>
    <w:multiLevelType w:val="multilevel"/>
    <w:tmpl w:val="324AABA6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54169"/>
    <w:multiLevelType w:val="multilevel"/>
    <w:tmpl w:val="434C4800"/>
    <w:lvl w:ilvl="0">
      <w:start w:val="1"/>
      <w:numFmt w:val="lowerRoman"/>
      <w:lvlText w:val="%1."/>
      <w:lvlJc w:val="left"/>
      <w:pPr>
        <w:tabs>
          <w:tab w:val="num" w:pos="2088"/>
        </w:tabs>
        <w:ind w:left="1368" w:firstLine="0"/>
      </w:pPr>
      <w:rPr>
        <w:rFonts w:ascii="Times New Roman" w:eastAsia="Times New Roman" w:hAnsi="Times New Roman" w:hint="default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  <w:pPr>
        <w:ind w:left="1368" w:firstLine="0"/>
      </w:pPr>
      <w:rPr>
        <w:rFonts w:hint="default"/>
      </w:rPr>
    </w:lvl>
    <w:lvl w:ilvl="2">
      <w:numFmt w:val="decimal"/>
      <w:lvlText w:val=""/>
      <w:lvlJc w:val="left"/>
      <w:pPr>
        <w:ind w:left="1368" w:firstLine="0"/>
      </w:pPr>
      <w:rPr>
        <w:rFonts w:hint="default"/>
      </w:rPr>
    </w:lvl>
    <w:lvl w:ilvl="3">
      <w:numFmt w:val="decimal"/>
      <w:lvlText w:val=""/>
      <w:lvlJc w:val="left"/>
      <w:pPr>
        <w:ind w:left="1368" w:firstLine="0"/>
      </w:pPr>
      <w:rPr>
        <w:rFonts w:hint="default"/>
      </w:rPr>
    </w:lvl>
    <w:lvl w:ilvl="4">
      <w:numFmt w:val="decimal"/>
      <w:lvlText w:val=""/>
      <w:lvlJc w:val="left"/>
      <w:pPr>
        <w:ind w:left="1368" w:firstLine="0"/>
      </w:pPr>
      <w:rPr>
        <w:rFonts w:hint="default"/>
      </w:rPr>
    </w:lvl>
    <w:lvl w:ilvl="5">
      <w:numFmt w:val="decimal"/>
      <w:lvlText w:val=""/>
      <w:lvlJc w:val="left"/>
      <w:pPr>
        <w:ind w:left="1368" w:firstLine="0"/>
      </w:pPr>
      <w:rPr>
        <w:rFonts w:hint="default"/>
      </w:rPr>
    </w:lvl>
    <w:lvl w:ilvl="6">
      <w:numFmt w:val="decimal"/>
      <w:lvlText w:val=""/>
      <w:lvlJc w:val="left"/>
      <w:pPr>
        <w:ind w:left="1368" w:firstLine="0"/>
      </w:pPr>
      <w:rPr>
        <w:rFonts w:hint="default"/>
      </w:rPr>
    </w:lvl>
    <w:lvl w:ilvl="7">
      <w:numFmt w:val="decimal"/>
      <w:lvlText w:val=""/>
      <w:lvlJc w:val="left"/>
      <w:pPr>
        <w:ind w:left="1368" w:firstLine="0"/>
      </w:pPr>
      <w:rPr>
        <w:rFonts w:hint="default"/>
      </w:rPr>
    </w:lvl>
    <w:lvl w:ilvl="8">
      <w:numFmt w:val="decimal"/>
      <w:lvlText w:val=""/>
      <w:lvlJc w:val="left"/>
      <w:pPr>
        <w:ind w:left="1368" w:firstLine="0"/>
      </w:pPr>
      <w:rPr>
        <w:rFonts w:hint="default"/>
      </w:rPr>
    </w:lvl>
  </w:abstractNum>
  <w:abstractNum w:abstractNumId="4" w15:restartNumberingAfterBreak="0">
    <w:nsid w:val="47582C50"/>
    <w:multiLevelType w:val="hybridMultilevel"/>
    <w:tmpl w:val="881E8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733E"/>
    <w:multiLevelType w:val="multilevel"/>
    <w:tmpl w:val="CB200098"/>
    <w:lvl w:ilvl="0">
      <w:start w:val="1"/>
      <w:numFmt w:val="upperLetter"/>
      <w:lvlText w:val="%1.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9"/>
    <w:rsid w:val="0004084E"/>
    <w:rsid w:val="000A4754"/>
    <w:rsid w:val="000D6F0E"/>
    <w:rsid w:val="00112585"/>
    <w:rsid w:val="00114B68"/>
    <w:rsid w:val="001A567C"/>
    <w:rsid w:val="0028290B"/>
    <w:rsid w:val="002B029C"/>
    <w:rsid w:val="005C7A19"/>
    <w:rsid w:val="005E52AA"/>
    <w:rsid w:val="0064640F"/>
    <w:rsid w:val="007F6FA9"/>
    <w:rsid w:val="009B265D"/>
    <w:rsid w:val="009F1CFB"/>
    <w:rsid w:val="00A442B7"/>
    <w:rsid w:val="00B045A9"/>
    <w:rsid w:val="00B120B5"/>
    <w:rsid w:val="00B464EE"/>
    <w:rsid w:val="00DC6CA9"/>
    <w:rsid w:val="00E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3CA0F7"/>
  <w15:docId w15:val="{49059B8C-E51E-48AB-8E17-12CB3CA3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B5"/>
  </w:style>
  <w:style w:type="paragraph" w:styleId="Footer">
    <w:name w:val="footer"/>
    <w:basedOn w:val="Normal"/>
    <w:link w:val="FooterChar"/>
    <w:uiPriority w:val="99"/>
    <w:unhideWhenUsed/>
    <w:rsid w:val="00B12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0B5"/>
  </w:style>
  <w:style w:type="paragraph" w:styleId="ListParagraph">
    <w:name w:val="List Paragraph"/>
    <w:basedOn w:val="Normal"/>
    <w:uiPriority w:val="34"/>
    <w:qFormat/>
    <w:rsid w:val="00E1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Wallingford-Swarthmore School District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Palmer</dc:creator>
  <cp:keywords/>
  <dc:description/>
  <cp:lastModifiedBy>Lisa Palmer</cp:lastModifiedBy>
  <cp:revision>2</cp:revision>
  <cp:lastPrinted>2021-05-30T21:22:00Z</cp:lastPrinted>
  <dcterms:created xsi:type="dcterms:W3CDTF">2021-05-30T21:08:00Z</dcterms:created>
  <dcterms:modified xsi:type="dcterms:W3CDTF">2021-05-30T21:22:00Z</dcterms:modified>
</cp:coreProperties>
</file>